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DB05E" w14:textId="3AA00434" w:rsidR="002B00DB" w:rsidRPr="00CC72AB" w:rsidRDefault="002B00DB" w:rsidP="00CC72AB">
      <w:pPr>
        <w:pStyle w:val="NormalWeb"/>
        <w:shd w:val="clear" w:color="auto" w:fill="FFFFFF"/>
        <w:spacing w:before="0" w:beforeAutospacing="0" w:after="0" w:afterAutospacing="0" w:line="345" w:lineRule="atLeast"/>
        <w:textAlignment w:val="baseline"/>
        <w:rPr>
          <w:rFonts w:ascii="Arial" w:hAnsi="Arial" w:cs="Arial"/>
          <w:color w:val="000000" w:themeColor="text1"/>
        </w:rPr>
      </w:pPr>
      <w:r w:rsidRPr="00CC72AB">
        <w:rPr>
          <w:rFonts w:ascii="Arial" w:hAnsi="Arial" w:cs="Arial"/>
          <w:color w:val="000000" w:themeColor="text1"/>
        </w:rPr>
        <w:t>The Coordinated Canyon Experiment (CCE) was an extensive long-term effort to monitor the passage of sediment gravity flows (e.g., turbidity currents) at multiple locations simultaneously. To conduct the experiment, an international team of researchers from Monterey Bay Aquarium Research Institute, National Oceanographic Centre, U.S. Geological Survey, Ocean University of China, University of Hull, University of Southampton, University of Durham, and Southern University of Science and Technology of China, combined their expertise and equipment. The CCE was conducted in Monterey Canyon, off the coast of Central California, during an 18-month period, between October 2015 and April 2017. The CCE focused on a 50-kilometer stretch of the upper canyon, from depths of 200 to 1,850 meters. Over the course of this study, 15 turbidity currents were detected and documented.</w:t>
      </w:r>
    </w:p>
    <w:p w14:paraId="01B95CB2" w14:textId="727A65E3" w:rsidR="002B00DB" w:rsidRPr="00CC72AB" w:rsidRDefault="002B00DB" w:rsidP="00CC72AB">
      <w:pPr>
        <w:pStyle w:val="NormalWeb"/>
        <w:shd w:val="clear" w:color="auto" w:fill="FFFFFF"/>
        <w:spacing w:before="204" w:beforeAutospacing="0" w:after="204" w:afterAutospacing="0" w:line="345" w:lineRule="atLeast"/>
        <w:textAlignment w:val="baseline"/>
        <w:rPr>
          <w:rFonts w:ascii="Arial" w:hAnsi="Arial" w:cs="Arial"/>
          <w:color w:val="000000" w:themeColor="text1"/>
        </w:rPr>
      </w:pPr>
      <w:r w:rsidRPr="00CC72AB">
        <w:rPr>
          <w:rFonts w:ascii="Arial" w:hAnsi="Arial" w:cs="Arial"/>
          <w:color w:val="000000" w:themeColor="text1"/>
        </w:rPr>
        <w:t>The CCE involved instruments mounted on moorings above the seafloor, deployed on the seafloor and buried in the canyon floor. Current velocity, temperature, and turbidity data were collected during the passage of sediment-laden flows. Additionally, newly developed sensors were used for the first time, monitoring the motion of the seafloor itself. Coupling the sensor observations with bathymetric (seafloor mapping) surveys, and sediment trap samples, the CCE successfully documented turbidity currents as well as the associated changes in seafloor morphology. The resulting data yield a new and detailed view of one of the major global sediment transport processes on earth.</w:t>
      </w:r>
      <w:r w:rsidR="00CC72AB" w:rsidRPr="00CC72AB">
        <w:rPr>
          <w:rFonts w:ascii="Arial" w:hAnsi="Arial" w:cs="Arial"/>
          <w:color w:val="000000" w:themeColor="text1"/>
        </w:rPr>
        <w:t xml:space="preserve"> </w:t>
      </w:r>
      <w:r w:rsidRPr="0017167A">
        <w:rPr>
          <w:rFonts w:ascii="Arial" w:hAnsi="Arial" w:cs="Arial"/>
          <w:color w:val="000000" w:themeColor="text1"/>
        </w:rPr>
        <w:t>Funding was provided by The David and Lucile Packard Foundation, Natural Environment Research Council (NE/K011480/1), U.S. Geological Survey, and Ocean University of China.</w:t>
      </w:r>
    </w:p>
    <w:p w14:paraId="2F25E8BD" w14:textId="6ACACB87" w:rsidR="00CC72AB" w:rsidRPr="00CC72AB" w:rsidRDefault="00CC72AB" w:rsidP="00CC72AB">
      <w:pPr>
        <w:rPr>
          <w:rFonts w:ascii="Arial" w:eastAsia="Times New Roman" w:hAnsi="Arial" w:cs="Arial"/>
          <w:sz w:val="20"/>
          <w:szCs w:val="20"/>
        </w:rPr>
      </w:pPr>
      <w:hyperlink r:id="rId4" w:history="1">
        <w:r w:rsidRPr="00CC72AB">
          <w:rPr>
            <w:rFonts w:ascii="Arial" w:eastAsia="Times New Roman" w:hAnsi="Arial" w:cs="Arial"/>
            <w:color w:val="0000FF"/>
            <w:u w:val="single"/>
          </w:rPr>
          <w:t>https://www.mbari.org/science/seafloor-processes/geological-changes/coordinated-canyon-experiment-datareport-main-page/</w:t>
        </w:r>
      </w:hyperlink>
    </w:p>
    <w:p w14:paraId="1EF89F10" w14:textId="77777777" w:rsidR="00CC72AB" w:rsidRPr="00CC72AB" w:rsidRDefault="00CC72AB" w:rsidP="00CC72AB">
      <w:pPr>
        <w:shd w:val="clear" w:color="auto" w:fill="FFFFFF"/>
        <w:jc w:val="right"/>
        <w:rPr>
          <w:rFonts w:ascii="Helvetica" w:eastAsia="Times New Roman" w:hAnsi="Helvetica" w:cs="Times New Roman"/>
          <w:b/>
          <w:bCs/>
          <w:color w:val="333333"/>
          <w:sz w:val="22"/>
          <w:szCs w:val="22"/>
        </w:rPr>
      </w:pPr>
      <w:r w:rsidRPr="00CC72AB">
        <w:rPr>
          <w:rFonts w:ascii="Helvetica" w:eastAsia="Times New Roman" w:hAnsi="Helvetica" w:cs="Times New Roman"/>
          <w:b/>
          <w:bCs/>
          <w:color w:val="333333"/>
          <w:sz w:val="22"/>
          <w:szCs w:val="22"/>
        </w:rPr>
        <w:t>Paull, Charles</w:t>
      </w:r>
    </w:p>
    <w:p w14:paraId="42FAE9B3" w14:textId="77777777" w:rsidR="00CC72AB" w:rsidRPr="00CC72AB" w:rsidRDefault="00CC72AB" w:rsidP="00CC72AB">
      <w:pPr>
        <w:shd w:val="clear" w:color="auto" w:fill="FFFFFF"/>
        <w:jc w:val="right"/>
        <w:rPr>
          <w:rFonts w:ascii="Helvetica" w:eastAsia="Times New Roman" w:hAnsi="Helvetica" w:cs="Times New Roman"/>
          <w:color w:val="666666"/>
          <w:sz w:val="16"/>
          <w:szCs w:val="16"/>
        </w:rPr>
      </w:pPr>
      <w:r w:rsidRPr="00CC72AB">
        <w:rPr>
          <w:rFonts w:ascii="Helvetica" w:eastAsia="Times New Roman" w:hAnsi="Helvetica" w:cs="Times New Roman"/>
          <w:color w:val="666666"/>
          <w:sz w:val="16"/>
          <w:szCs w:val="16"/>
        </w:rPr>
        <w:t>Investigator</w:t>
      </w:r>
    </w:p>
    <w:p w14:paraId="2EE45D68" w14:textId="77777777" w:rsidR="00CC72AB" w:rsidRPr="00CC72AB" w:rsidRDefault="00CC72AB" w:rsidP="00CC72AB">
      <w:pPr>
        <w:shd w:val="clear" w:color="auto" w:fill="FFFFFF"/>
        <w:jc w:val="right"/>
        <w:rPr>
          <w:rFonts w:ascii="Helvetica" w:eastAsia="Times New Roman" w:hAnsi="Helvetica" w:cs="Times New Roman"/>
          <w:color w:val="333333"/>
          <w:sz w:val="22"/>
          <w:szCs w:val="22"/>
        </w:rPr>
      </w:pPr>
      <w:r w:rsidRPr="00CC72AB">
        <w:rPr>
          <w:rFonts w:ascii="Helvetica" w:eastAsia="Times New Roman" w:hAnsi="Helvetica" w:cs="Times New Roman"/>
          <w:color w:val="333333"/>
          <w:sz w:val="22"/>
          <w:szCs w:val="22"/>
        </w:rPr>
        <w:t>MBARI</w:t>
      </w:r>
    </w:p>
    <w:p w14:paraId="09E02F68" w14:textId="77777777" w:rsidR="00CC72AB" w:rsidRPr="00CC72AB" w:rsidRDefault="00CC72AB" w:rsidP="00CC72AB">
      <w:pPr>
        <w:shd w:val="clear" w:color="auto" w:fill="FFFFFF"/>
        <w:jc w:val="right"/>
        <w:rPr>
          <w:rFonts w:ascii="Helvetica" w:eastAsia="Times New Roman" w:hAnsi="Helvetica" w:cs="Times New Roman"/>
          <w:b/>
          <w:bCs/>
          <w:color w:val="333333"/>
          <w:sz w:val="22"/>
          <w:szCs w:val="22"/>
        </w:rPr>
      </w:pPr>
      <w:proofErr w:type="spellStart"/>
      <w:r w:rsidRPr="00CC72AB">
        <w:rPr>
          <w:rFonts w:ascii="Helvetica" w:eastAsia="Times New Roman" w:hAnsi="Helvetica" w:cs="Times New Roman"/>
          <w:b/>
          <w:bCs/>
          <w:color w:val="333333"/>
          <w:sz w:val="22"/>
          <w:szCs w:val="22"/>
        </w:rPr>
        <w:t>Talling</w:t>
      </w:r>
      <w:proofErr w:type="spellEnd"/>
      <w:r w:rsidRPr="00CC72AB">
        <w:rPr>
          <w:rFonts w:ascii="Helvetica" w:eastAsia="Times New Roman" w:hAnsi="Helvetica" w:cs="Times New Roman"/>
          <w:b/>
          <w:bCs/>
          <w:color w:val="333333"/>
          <w:sz w:val="22"/>
          <w:szCs w:val="22"/>
        </w:rPr>
        <w:t>, Peter</w:t>
      </w:r>
    </w:p>
    <w:p w14:paraId="78876D56" w14:textId="77777777" w:rsidR="00CC72AB" w:rsidRPr="00CC72AB" w:rsidRDefault="00CC72AB" w:rsidP="00CC72AB">
      <w:pPr>
        <w:shd w:val="clear" w:color="auto" w:fill="FFFFFF"/>
        <w:jc w:val="right"/>
        <w:rPr>
          <w:rFonts w:ascii="Helvetica" w:eastAsia="Times New Roman" w:hAnsi="Helvetica" w:cs="Times New Roman"/>
          <w:color w:val="666666"/>
          <w:sz w:val="16"/>
          <w:szCs w:val="16"/>
        </w:rPr>
      </w:pPr>
      <w:r w:rsidRPr="00CC72AB">
        <w:rPr>
          <w:rFonts w:ascii="Helvetica" w:eastAsia="Times New Roman" w:hAnsi="Helvetica" w:cs="Times New Roman"/>
          <w:color w:val="666666"/>
          <w:sz w:val="16"/>
          <w:szCs w:val="16"/>
        </w:rPr>
        <w:t>Investigator</w:t>
      </w:r>
    </w:p>
    <w:p w14:paraId="7E7A8429" w14:textId="77777777" w:rsidR="00CC72AB" w:rsidRPr="00CC72AB" w:rsidRDefault="00CC72AB" w:rsidP="00CC72AB">
      <w:pPr>
        <w:shd w:val="clear" w:color="auto" w:fill="FFFFFF"/>
        <w:jc w:val="right"/>
        <w:rPr>
          <w:rFonts w:ascii="Helvetica" w:eastAsia="Times New Roman" w:hAnsi="Helvetica" w:cs="Times New Roman"/>
          <w:color w:val="333333"/>
          <w:sz w:val="22"/>
          <w:szCs w:val="22"/>
        </w:rPr>
      </w:pPr>
      <w:bookmarkStart w:id="0" w:name="_GoBack"/>
      <w:bookmarkEnd w:id="0"/>
      <w:r w:rsidRPr="00CC72AB">
        <w:rPr>
          <w:rFonts w:ascii="Helvetica" w:eastAsia="Times New Roman" w:hAnsi="Helvetica" w:cs="Times New Roman"/>
          <w:color w:val="333333"/>
          <w:sz w:val="22"/>
          <w:szCs w:val="22"/>
        </w:rPr>
        <w:t>Durham University</w:t>
      </w:r>
    </w:p>
    <w:p w14:paraId="3D2D05EA" w14:textId="77777777" w:rsidR="00CC72AB" w:rsidRPr="00CC72AB" w:rsidRDefault="00CC72AB" w:rsidP="00CC72AB">
      <w:pPr>
        <w:shd w:val="clear" w:color="auto" w:fill="FFFFFF"/>
        <w:jc w:val="right"/>
        <w:rPr>
          <w:rFonts w:ascii="Helvetica" w:eastAsia="Times New Roman" w:hAnsi="Helvetica" w:cs="Times New Roman"/>
          <w:b/>
          <w:bCs/>
          <w:color w:val="333333"/>
          <w:sz w:val="22"/>
          <w:szCs w:val="22"/>
        </w:rPr>
      </w:pPr>
      <w:r w:rsidRPr="00CC72AB">
        <w:rPr>
          <w:rFonts w:ascii="Helvetica" w:eastAsia="Times New Roman" w:hAnsi="Helvetica" w:cs="Times New Roman"/>
          <w:b/>
          <w:bCs/>
          <w:color w:val="333333"/>
          <w:sz w:val="22"/>
          <w:szCs w:val="22"/>
        </w:rPr>
        <w:t>Maier, Katie</w:t>
      </w:r>
    </w:p>
    <w:p w14:paraId="0348C6F1" w14:textId="77777777" w:rsidR="00CC72AB" w:rsidRPr="00CC72AB" w:rsidRDefault="00CC72AB" w:rsidP="00CC72AB">
      <w:pPr>
        <w:shd w:val="clear" w:color="auto" w:fill="FFFFFF"/>
        <w:jc w:val="right"/>
        <w:rPr>
          <w:rFonts w:ascii="Helvetica" w:eastAsia="Times New Roman" w:hAnsi="Helvetica" w:cs="Times New Roman"/>
          <w:color w:val="666666"/>
          <w:sz w:val="16"/>
          <w:szCs w:val="16"/>
        </w:rPr>
      </w:pPr>
      <w:r w:rsidRPr="00CC72AB">
        <w:rPr>
          <w:rFonts w:ascii="Helvetica" w:eastAsia="Times New Roman" w:hAnsi="Helvetica" w:cs="Times New Roman"/>
          <w:color w:val="666666"/>
          <w:sz w:val="16"/>
          <w:szCs w:val="16"/>
        </w:rPr>
        <w:t>Investigator</w:t>
      </w:r>
    </w:p>
    <w:p w14:paraId="3A49F2BA" w14:textId="0F4CD64D" w:rsidR="00CC72AB" w:rsidRPr="00CC72AB" w:rsidRDefault="00CC72AB" w:rsidP="00CC72AB">
      <w:pPr>
        <w:shd w:val="clear" w:color="auto" w:fill="FFFFFF"/>
        <w:jc w:val="right"/>
        <w:rPr>
          <w:rFonts w:ascii="Helvetica" w:eastAsia="Times New Roman" w:hAnsi="Helvetica" w:cs="Times New Roman"/>
          <w:color w:val="333333"/>
          <w:sz w:val="22"/>
          <w:szCs w:val="22"/>
        </w:rPr>
      </w:pPr>
      <w:r w:rsidRPr="00CC72AB">
        <w:rPr>
          <w:rFonts w:ascii="Helvetica" w:eastAsia="Times New Roman" w:hAnsi="Helvetica" w:cs="Times New Roman"/>
          <w:color w:val="333333"/>
          <w:sz w:val="22"/>
          <w:szCs w:val="22"/>
        </w:rPr>
        <w:t>Formerly USGS</w:t>
      </w:r>
    </w:p>
    <w:p w14:paraId="2FF45BDC" w14:textId="3623511D" w:rsidR="00CC72AB" w:rsidRPr="00CC72AB" w:rsidRDefault="00CC72AB" w:rsidP="00CC72AB">
      <w:pPr>
        <w:shd w:val="clear" w:color="auto" w:fill="FFFFFF"/>
        <w:jc w:val="right"/>
        <w:rPr>
          <w:rFonts w:ascii="Helvetica" w:eastAsia="Times New Roman" w:hAnsi="Helvetica" w:cs="Times New Roman"/>
          <w:b/>
          <w:bCs/>
          <w:color w:val="333333"/>
          <w:sz w:val="22"/>
          <w:szCs w:val="22"/>
        </w:rPr>
      </w:pPr>
      <w:r w:rsidRPr="00CC72AB">
        <w:rPr>
          <w:rFonts w:ascii="Helvetica" w:eastAsia="Times New Roman" w:hAnsi="Helvetica" w:cs="Times New Roman"/>
          <w:b/>
          <w:bCs/>
          <w:color w:val="333333"/>
          <w:sz w:val="22"/>
          <w:szCs w:val="22"/>
        </w:rPr>
        <w:t>Rosenberger, Kurt</w:t>
      </w:r>
    </w:p>
    <w:p w14:paraId="4C74C9AF" w14:textId="77777777" w:rsidR="00CC72AB" w:rsidRPr="00CC72AB" w:rsidRDefault="00CC72AB" w:rsidP="00CC72AB">
      <w:pPr>
        <w:shd w:val="clear" w:color="auto" w:fill="FFFFFF"/>
        <w:jc w:val="right"/>
        <w:rPr>
          <w:rFonts w:ascii="Helvetica" w:eastAsia="Times New Roman" w:hAnsi="Helvetica" w:cs="Times New Roman"/>
          <w:color w:val="666666"/>
          <w:sz w:val="16"/>
          <w:szCs w:val="16"/>
        </w:rPr>
      </w:pPr>
      <w:r w:rsidRPr="00CC72AB">
        <w:rPr>
          <w:rFonts w:ascii="Helvetica" w:eastAsia="Times New Roman" w:hAnsi="Helvetica" w:cs="Times New Roman"/>
          <w:color w:val="666666"/>
          <w:sz w:val="16"/>
          <w:szCs w:val="16"/>
        </w:rPr>
        <w:t>Investigator</w:t>
      </w:r>
    </w:p>
    <w:p w14:paraId="6C987604" w14:textId="11C5F5FB" w:rsidR="00CC72AB" w:rsidRPr="00CC72AB" w:rsidRDefault="00CC72AB" w:rsidP="00CC72AB">
      <w:pPr>
        <w:shd w:val="clear" w:color="auto" w:fill="FFFFFF"/>
        <w:jc w:val="right"/>
        <w:rPr>
          <w:rFonts w:ascii="Helvetica" w:eastAsia="Times New Roman" w:hAnsi="Helvetica" w:cs="Times New Roman"/>
          <w:color w:val="333333"/>
          <w:sz w:val="22"/>
          <w:szCs w:val="22"/>
        </w:rPr>
      </w:pPr>
      <w:r w:rsidRPr="00CC72AB">
        <w:rPr>
          <w:rFonts w:ascii="Helvetica" w:eastAsia="Times New Roman" w:hAnsi="Helvetica" w:cs="Times New Roman"/>
          <w:color w:val="333333"/>
          <w:sz w:val="22"/>
          <w:szCs w:val="22"/>
        </w:rPr>
        <w:t>USGS</w:t>
      </w:r>
    </w:p>
    <w:p w14:paraId="413B7713" w14:textId="77777777" w:rsidR="00CC72AB" w:rsidRPr="00CC72AB" w:rsidRDefault="00CC72AB" w:rsidP="00CC72AB">
      <w:pPr>
        <w:shd w:val="clear" w:color="auto" w:fill="FFFFFF"/>
        <w:jc w:val="right"/>
        <w:rPr>
          <w:rFonts w:ascii="Helvetica" w:eastAsia="Times New Roman" w:hAnsi="Helvetica" w:cs="Times New Roman"/>
          <w:b/>
          <w:bCs/>
          <w:color w:val="333333"/>
          <w:sz w:val="22"/>
          <w:szCs w:val="22"/>
        </w:rPr>
      </w:pPr>
      <w:r w:rsidRPr="00CC72AB">
        <w:rPr>
          <w:rFonts w:ascii="Helvetica" w:eastAsia="Times New Roman" w:hAnsi="Helvetica" w:cs="Times New Roman"/>
          <w:b/>
          <w:bCs/>
          <w:color w:val="333333"/>
          <w:sz w:val="22"/>
          <w:szCs w:val="22"/>
        </w:rPr>
        <w:t>Parsons, Daniel</w:t>
      </w:r>
    </w:p>
    <w:p w14:paraId="2153E3DA" w14:textId="77777777" w:rsidR="00CC72AB" w:rsidRPr="00CC72AB" w:rsidRDefault="00CC72AB" w:rsidP="00CC72AB">
      <w:pPr>
        <w:shd w:val="clear" w:color="auto" w:fill="FFFFFF"/>
        <w:jc w:val="right"/>
        <w:rPr>
          <w:rFonts w:ascii="Helvetica" w:eastAsia="Times New Roman" w:hAnsi="Helvetica" w:cs="Times New Roman"/>
          <w:color w:val="666666"/>
          <w:sz w:val="16"/>
          <w:szCs w:val="16"/>
        </w:rPr>
      </w:pPr>
      <w:r w:rsidRPr="00CC72AB">
        <w:rPr>
          <w:rFonts w:ascii="Helvetica" w:eastAsia="Times New Roman" w:hAnsi="Helvetica" w:cs="Times New Roman"/>
          <w:color w:val="666666"/>
          <w:sz w:val="16"/>
          <w:szCs w:val="16"/>
        </w:rPr>
        <w:t>Investigator</w:t>
      </w:r>
    </w:p>
    <w:p w14:paraId="2A58F4C5" w14:textId="77777777" w:rsidR="00CC72AB" w:rsidRPr="00CC72AB" w:rsidRDefault="00CC72AB" w:rsidP="00CC72AB">
      <w:pPr>
        <w:shd w:val="clear" w:color="auto" w:fill="FFFFFF"/>
        <w:jc w:val="right"/>
        <w:rPr>
          <w:rFonts w:ascii="Helvetica" w:eastAsia="Times New Roman" w:hAnsi="Helvetica" w:cs="Times New Roman"/>
          <w:color w:val="333333"/>
          <w:sz w:val="22"/>
          <w:szCs w:val="22"/>
        </w:rPr>
      </w:pPr>
      <w:r w:rsidRPr="00CC72AB">
        <w:rPr>
          <w:rFonts w:ascii="Helvetica" w:eastAsia="Times New Roman" w:hAnsi="Helvetica" w:cs="Times New Roman"/>
          <w:color w:val="333333"/>
          <w:sz w:val="22"/>
          <w:szCs w:val="22"/>
        </w:rPr>
        <w:t>University of Hull</w:t>
      </w:r>
    </w:p>
    <w:p w14:paraId="31B2E37D" w14:textId="77777777" w:rsidR="00CC72AB" w:rsidRPr="00CC72AB" w:rsidRDefault="00CC72AB" w:rsidP="00CC72AB">
      <w:pPr>
        <w:shd w:val="clear" w:color="auto" w:fill="FFFFFF"/>
        <w:jc w:val="right"/>
        <w:rPr>
          <w:rFonts w:ascii="Helvetica" w:eastAsia="Times New Roman" w:hAnsi="Helvetica" w:cs="Times New Roman"/>
          <w:b/>
          <w:bCs/>
          <w:color w:val="333333"/>
          <w:sz w:val="22"/>
          <w:szCs w:val="22"/>
        </w:rPr>
      </w:pPr>
      <w:r w:rsidRPr="00CC72AB">
        <w:rPr>
          <w:rFonts w:ascii="Helvetica" w:eastAsia="Times New Roman" w:hAnsi="Helvetica" w:cs="Times New Roman"/>
          <w:b/>
          <w:bCs/>
          <w:color w:val="333333"/>
          <w:sz w:val="22"/>
          <w:szCs w:val="22"/>
        </w:rPr>
        <w:t xml:space="preserve">Xu, </w:t>
      </w:r>
      <w:proofErr w:type="spellStart"/>
      <w:r w:rsidRPr="00CC72AB">
        <w:rPr>
          <w:rFonts w:ascii="Helvetica" w:eastAsia="Times New Roman" w:hAnsi="Helvetica" w:cs="Times New Roman"/>
          <w:b/>
          <w:bCs/>
          <w:color w:val="333333"/>
          <w:sz w:val="22"/>
          <w:szCs w:val="22"/>
        </w:rPr>
        <w:t>Jingping</w:t>
      </w:r>
      <w:proofErr w:type="spellEnd"/>
    </w:p>
    <w:p w14:paraId="36CDF58C" w14:textId="77777777" w:rsidR="00CC72AB" w:rsidRPr="00CC72AB" w:rsidRDefault="00CC72AB" w:rsidP="00CC72AB">
      <w:pPr>
        <w:shd w:val="clear" w:color="auto" w:fill="FFFFFF"/>
        <w:jc w:val="right"/>
        <w:rPr>
          <w:rFonts w:ascii="Helvetica" w:eastAsia="Times New Roman" w:hAnsi="Helvetica" w:cs="Times New Roman"/>
          <w:color w:val="666666"/>
          <w:sz w:val="16"/>
          <w:szCs w:val="16"/>
        </w:rPr>
      </w:pPr>
      <w:r w:rsidRPr="00CC72AB">
        <w:rPr>
          <w:rFonts w:ascii="Helvetica" w:eastAsia="Times New Roman" w:hAnsi="Helvetica" w:cs="Times New Roman"/>
          <w:color w:val="666666"/>
          <w:sz w:val="16"/>
          <w:szCs w:val="16"/>
        </w:rPr>
        <w:t>Investigator</w:t>
      </w:r>
    </w:p>
    <w:p w14:paraId="0BD448E4" w14:textId="42AC65D1" w:rsidR="004E2AA3" w:rsidRPr="00CC72AB" w:rsidRDefault="00CC72AB" w:rsidP="00CC72AB">
      <w:pPr>
        <w:shd w:val="clear" w:color="auto" w:fill="FFFFFF"/>
        <w:jc w:val="right"/>
        <w:rPr>
          <w:sz w:val="22"/>
          <w:szCs w:val="22"/>
        </w:rPr>
      </w:pPr>
      <w:r w:rsidRPr="00CC72AB">
        <w:rPr>
          <w:rFonts w:ascii="Helvetica" w:eastAsia="Times New Roman" w:hAnsi="Helvetica" w:cs="Times New Roman"/>
          <w:color w:val="333333"/>
          <w:sz w:val="22"/>
          <w:szCs w:val="22"/>
        </w:rPr>
        <w:t>SUSTC</w:t>
      </w:r>
    </w:p>
    <w:sectPr w:rsidR="004E2AA3" w:rsidRPr="00CC72AB" w:rsidSect="005413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0DB"/>
    <w:rsid w:val="002B00DB"/>
    <w:rsid w:val="00541369"/>
    <w:rsid w:val="00762874"/>
    <w:rsid w:val="00AA064E"/>
    <w:rsid w:val="00CC72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174FD"/>
  <w14:defaultImageDpi w14:val="32767"/>
  <w15:chartTrackingRefBased/>
  <w15:docId w15:val="{0D6587C4-A656-224C-8B2E-0F0DA30A3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00D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CC72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696550">
      <w:bodyDiv w:val="1"/>
      <w:marLeft w:val="0"/>
      <w:marRight w:val="0"/>
      <w:marTop w:val="0"/>
      <w:marBottom w:val="0"/>
      <w:divBdr>
        <w:top w:val="none" w:sz="0" w:space="0" w:color="auto"/>
        <w:left w:val="none" w:sz="0" w:space="0" w:color="auto"/>
        <w:bottom w:val="none" w:sz="0" w:space="0" w:color="auto"/>
        <w:right w:val="none" w:sz="0" w:space="0" w:color="auto"/>
      </w:divBdr>
    </w:div>
    <w:div w:id="743338570">
      <w:bodyDiv w:val="1"/>
      <w:marLeft w:val="0"/>
      <w:marRight w:val="0"/>
      <w:marTop w:val="0"/>
      <w:marBottom w:val="0"/>
      <w:divBdr>
        <w:top w:val="none" w:sz="0" w:space="0" w:color="auto"/>
        <w:left w:val="none" w:sz="0" w:space="0" w:color="auto"/>
        <w:bottom w:val="none" w:sz="0" w:space="0" w:color="auto"/>
        <w:right w:val="none" w:sz="0" w:space="0" w:color="auto"/>
      </w:divBdr>
    </w:div>
    <w:div w:id="1888028792">
      <w:bodyDiv w:val="1"/>
      <w:marLeft w:val="0"/>
      <w:marRight w:val="0"/>
      <w:marTop w:val="0"/>
      <w:marBottom w:val="0"/>
      <w:divBdr>
        <w:top w:val="none" w:sz="0" w:space="0" w:color="auto"/>
        <w:left w:val="none" w:sz="0" w:space="0" w:color="auto"/>
        <w:bottom w:val="none" w:sz="0" w:space="0" w:color="auto"/>
        <w:right w:val="none" w:sz="0" w:space="0" w:color="auto"/>
      </w:divBdr>
      <w:divsChild>
        <w:div w:id="421026862">
          <w:marLeft w:val="0"/>
          <w:marRight w:val="0"/>
          <w:marTop w:val="60"/>
          <w:marBottom w:val="60"/>
          <w:divBdr>
            <w:top w:val="none" w:sz="0" w:space="0" w:color="auto"/>
            <w:left w:val="none" w:sz="0" w:space="0" w:color="auto"/>
            <w:bottom w:val="none" w:sz="0" w:space="0" w:color="auto"/>
            <w:right w:val="none" w:sz="0" w:space="0" w:color="auto"/>
          </w:divBdr>
          <w:divsChild>
            <w:div w:id="1500389126">
              <w:marLeft w:val="0"/>
              <w:marRight w:val="0"/>
              <w:marTop w:val="0"/>
              <w:marBottom w:val="0"/>
              <w:divBdr>
                <w:top w:val="none" w:sz="0" w:space="0" w:color="auto"/>
                <w:left w:val="none" w:sz="0" w:space="0" w:color="auto"/>
                <w:bottom w:val="none" w:sz="0" w:space="0" w:color="auto"/>
                <w:right w:val="none" w:sz="0" w:space="0" w:color="auto"/>
              </w:divBdr>
            </w:div>
            <w:div w:id="818888399">
              <w:marLeft w:val="0"/>
              <w:marRight w:val="0"/>
              <w:marTop w:val="0"/>
              <w:marBottom w:val="0"/>
              <w:divBdr>
                <w:top w:val="none" w:sz="0" w:space="0" w:color="auto"/>
                <w:left w:val="none" w:sz="0" w:space="0" w:color="auto"/>
                <w:bottom w:val="none" w:sz="0" w:space="0" w:color="auto"/>
                <w:right w:val="none" w:sz="0" w:space="0" w:color="auto"/>
              </w:divBdr>
            </w:div>
            <w:div w:id="829490674">
              <w:marLeft w:val="94"/>
              <w:marRight w:val="0"/>
              <w:marTop w:val="0"/>
              <w:marBottom w:val="0"/>
              <w:divBdr>
                <w:top w:val="none" w:sz="0" w:space="0" w:color="auto"/>
                <w:left w:val="none" w:sz="0" w:space="0" w:color="auto"/>
                <w:bottom w:val="none" w:sz="0" w:space="0" w:color="auto"/>
                <w:right w:val="none" w:sz="0" w:space="0" w:color="auto"/>
              </w:divBdr>
            </w:div>
          </w:divsChild>
        </w:div>
        <w:div w:id="1351757998">
          <w:marLeft w:val="0"/>
          <w:marRight w:val="0"/>
          <w:marTop w:val="60"/>
          <w:marBottom w:val="60"/>
          <w:divBdr>
            <w:top w:val="none" w:sz="0" w:space="0" w:color="auto"/>
            <w:left w:val="none" w:sz="0" w:space="0" w:color="auto"/>
            <w:bottom w:val="none" w:sz="0" w:space="0" w:color="auto"/>
            <w:right w:val="none" w:sz="0" w:space="0" w:color="auto"/>
          </w:divBdr>
          <w:divsChild>
            <w:div w:id="1851068947">
              <w:marLeft w:val="0"/>
              <w:marRight w:val="0"/>
              <w:marTop w:val="0"/>
              <w:marBottom w:val="0"/>
              <w:divBdr>
                <w:top w:val="none" w:sz="0" w:space="0" w:color="auto"/>
                <w:left w:val="none" w:sz="0" w:space="0" w:color="auto"/>
                <w:bottom w:val="none" w:sz="0" w:space="0" w:color="auto"/>
                <w:right w:val="none" w:sz="0" w:space="0" w:color="auto"/>
              </w:divBdr>
            </w:div>
            <w:div w:id="1609240076">
              <w:marLeft w:val="0"/>
              <w:marRight w:val="0"/>
              <w:marTop w:val="0"/>
              <w:marBottom w:val="0"/>
              <w:divBdr>
                <w:top w:val="none" w:sz="0" w:space="0" w:color="auto"/>
                <w:left w:val="none" w:sz="0" w:space="0" w:color="auto"/>
                <w:bottom w:val="none" w:sz="0" w:space="0" w:color="auto"/>
                <w:right w:val="none" w:sz="0" w:space="0" w:color="auto"/>
              </w:divBdr>
            </w:div>
            <w:div w:id="1616985711">
              <w:marLeft w:val="94"/>
              <w:marRight w:val="0"/>
              <w:marTop w:val="0"/>
              <w:marBottom w:val="0"/>
              <w:divBdr>
                <w:top w:val="none" w:sz="0" w:space="0" w:color="auto"/>
                <w:left w:val="none" w:sz="0" w:space="0" w:color="auto"/>
                <w:bottom w:val="none" w:sz="0" w:space="0" w:color="auto"/>
                <w:right w:val="none" w:sz="0" w:space="0" w:color="auto"/>
              </w:divBdr>
            </w:div>
          </w:divsChild>
        </w:div>
        <w:div w:id="2080707378">
          <w:marLeft w:val="0"/>
          <w:marRight w:val="0"/>
          <w:marTop w:val="60"/>
          <w:marBottom w:val="60"/>
          <w:divBdr>
            <w:top w:val="none" w:sz="0" w:space="0" w:color="auto"/>
            <w:left w:val="none" w:sz="0" w:space="0" w:color="auto"/>
            <w:bottom w:val="none" w:sz="0" w:space="0" w:color="auto"/>
            <w:right w:val="none" w:sz="0" w:space="0" w:color="auto"/>
          </w:divBdr>
          <w:divsChild>
            <w:div w:id="542720300">
              <w:marLeft w:val="0"/>
              <w:marRight w:val="0"/>
              <w:marTop w:val="0"/>
              <w:marBottom w:val="0"/>
              <w:divBdr>
                <w:top w:val="none" w:sz="0" w:space="0" w:color="auto"/>
                <w:left w:val="none" w:sz="0" w:space="0" w:color="auto"/>
                <w:bottom w:val="none" w:sz="0" w:space="0" w:color="auto"/>
                <w:right w:val="none" w:sz="0" w:space="0" w:color="auto"/>
              </w:divBdr>
            </w:div>
            <w:div w:id="1362828580">
              <w:marLeft w:val="0"/>
              <w:marRight w:val="0"/>
              <w:marTop w:val="0"/>
              <w:marBottom w:val="0"/>
              <w:divBdr>
                <w:top w:val="none" w:sz="0" w:space="0" w:color="auto"/>
                <w:left w:val="none" w:sz="0" w:space="0" w:color="auto"/>
                <w:bottom w:val="none" w:sz="0" w:space="0" w:color="auto"/>
                <w:right w:val="none" w:sz="0" w:space="0" w:color="auto"/>
              </w:divBdr>
            </w:div>
            <w:div w:id="2097438123">
              <w:marLeft w:val="94"/>
              <w:marRight w:val="0"/>
              <w:marTop w:val="0"/>
              <w:marBottom w:val="0"/>
              <w:divBdr>
                <w:top w:val="none" w:sz="0" w:space="0" w:color="auto"/>
                <w:left w:val="none" w:sz="0" w:space="0" w:color="auto"/>
                <w:bottom w:val="none" w:sz="0" w:space="0" w:color="auto"/>
                <w:right w:val="none" w:sz="0" w:space="0" w:color="auto"/>
              </w:divBdr>
            </w:div>
          </w:divsChild>
        </w:div>
        <w:div w:id="1200632330">
          <w:marLeft w:val="0"/>
          <w:marRight w:val="0"/>
          <w:marTop w:val="60"/>
          <w:marBottom w:val="60"/>
          <w:divBdr>
            <w:top w:val="none" w:sz="0" w:space="0" w:color="auto"/>
            <w:left w:val="none" w:sz="0" w:space="0" w:color="auto"/>
            <w:bottom w:val="none" w:sz="0" w:space="0" w:color="auto"/>
            <w:right w:val="none" w:sz="0" w:space="0" w:color="auto"/>
          </w:divBdr>
          <w:divsChild>
            <w:div w:id="1681737984">
              <w:marLeft w:val="0"/>
              <w:marRight w:val="0"/>
              <w:marTop w:val="0"/>
              <w:marBottom w:val="0"/>
              <w:divBdr>
                <w:top w:val="none" w:sz="0" w:space="0" w:color="auto"/>
                <w:left w:val="none" w:sz="0" w:space="0" w:color="auto"/>
                <w:bottom w:val="none" w:sz="0" w:space="0" w:color="auto"/>
                <w:right w:val="none" w:sz="0" w:space="0" w:color="auto"/>
              </w:divBdr>
            </w:div>
            <w:div w:id="390542289">
              <w:marLeft w:val="0"/>
              <w:marRight w:val="0"/>
              <w:marTop w:val="0"/>
              <w:marBottom w:val="0"/>
              <w:divBdr>
                <w:top w:val="none" w:sz="0" w:space="0" w:color="auto"/>
                <w:left w:val="none" w:sz="0" w:space="0" w:color="auto"/>
                <w:bottom w:val="none" w:sz="0" w:space="0" w:color="auto"/>
                <w:right w:val="none" w:sz="0" w:space="0" w:color="auto"/>
              </w:divBdr>
            </w:div>
            <w:div w:id="1804035094">
              <w:marLeft w:val="94"/>
              <w:marRight w:val="0"/>
              <w:marTop w:val="0"/>
              <w:marBottom w:val="0"/>
              <w:divBdr>
                <w:top w:val="none" w:sz="0" w:space="0" w:color="auto"/>
                <w:left w:val="none" w:sz="0" w:space="0" w:color="auto"/>
                <w:bottom w:val="none" w:sz="0" w:space="0" w:color="auto"/>
                <w:right w:val="none" w:sz="0" w:space="0" w:color="auto"/>
              </w:divBdr>
            </w:div>
          </w:divsChild>
        </w:div>
        <w:div w:id="1391926877">
          <w:marLeft w:val="0"/>
          <w:marRight w:val="0"/>
          <w:marTop w:val="60"/>
          <w:marBottom w:val="60"/>
          <w:divBdr>
            <w:top w:val="none" w:sz="0" w:space="0" w:color="auto"/>
            <w:left w:val="none" w:sz="0" w:space="0" w:color="auto"/>
            <w:bottom w:val="none" w:sz="0" w:space="0" w:color="auto"/>
            <w:right w:val="none" w:sz="0" w:space="0" w:color="auto"/>
          </w:divBdr>
          <w:divsChild>
            <w:div w:id="1340813422">
              <w:marLeft w:val="0"/>
              <w:marRight w:val="0"/>
              <w:marTop w:val="0"/>
              <w:marBottom w:val="0"/>
              <w:divBdr>
                <w:top w:val="none" w:sz="0" w:space="0" w:color="auto"/>
                <w:left w:val="none" w:sz="0" w:space="0" w:color="auto"/>
                <w:bottom w:val="none" w:sz="0" w:space="0" w:color="auto"/>
                <w:right w:val="none" w:sz="0" w:space="0" w:color="auto"/>
              </w:divBdr>
            </w:div>
            <w:div w:id="1921021144">
              <w:marLeft w:val="0"/>
              <w:marRight w:val="0"/>
              <w:marTop w:val="0"/>
              <w:marBottom w:val="0"/>
              <w:divBdr>
                <w:top w:val="none" w:sz="0" w:space="0" w:color="auto"/>
                <w:left w:val="none" w:sz="0" w:space="0" w:color="auto"/>
                <w:bottom w:val="none" w:sz="0" w:space="0" w:color="auto"/>
                <w:right w:val="none" w:sz="0" w:space="0" w:color="auto"/>
              </w:divBdr>
            </w:div>
            <w:div w:id="737634070">
              <w:marLeft w:val="94"/>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bari.org/science/seafloor-processes/geological-changes/coordinated-canyon-experiment-datareport-main-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Lundsten</dc:creator>
  <cp:keywords/>
  <dc:description/>
  <cp:lastModifiedBy>Eve Lundsten</cp:lastModifiedBy>
  <cp:revision>1</cp:revision>
  <dcterms:created xsi:type="dcterms:W3CDTF">2019-04-30T21:16:00Z</dcterms:created>
  <dcterms:modified xsi:type="dcterms:W3CDTF">2019-04-30T21:36:00Z</dcterms:modified>
</cp:coreProperties>
</file>